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256 vom 1. Juni 1990</w:t>
      </w:r>
    </w:p>
    <w:p>
      <w:r>
        <w:t>Bundesgericht (BGE), 1990-06-01, DE</w:t>
      </w:r>
    </w:p>
    <w:p>
      <w:r>
        <w:rPr>
          <w:b/>
        </w:rPr>
        <w:t xml:space="preserve">Quelle: </w:t>
      </w:r>
      <w:r>
        <w:t>https://mcp.opencaselaw.ch/entscheid/bge_116 IB 256</w:t>
      </w:r>
    </w:p>
    <w:p>
      <w:r>
        <w:t>FR: BGE 116 IB 256 du 1 juin 1990</w:t>
      </w:r>
    </w:p>
    <w:p>
      <w:r>
        <w:t>IT: BGE 116 IB 256 del 1 giugno 1990</w:t>
      </w:r>
    </w:p>
    <w:p>
      <w:pPr>
        <w:pStyle w:val="Heading2"/>
      </w:pPr>
      <w:r>
        <w:t>Regeste</w:t>
      </w:r>
    </w:p>
    <w:p>
      <w:r>
        <w:t>Regeste Art. 25 Abs. 3 lit. e SVG und Art. 40 f. VZV; Anordnung von Verkehrsunterricht. Die Anordnung von Verkehrsunterricht setzt voraus, dass der Betroffene innert kurzer Zeit mindestens zweimal oder immer wieder Verkehrsregeln übertreten hat und anzunehmen ist, durch eine Verbesserung seiner Kenntnisse der Verkehrsvorschriften oder durch den Hinweis auf die Gefahren regelwidrigen Verhaltens im Strassenverkehr könne er von künftigen Verstössen gegen die Strassenverkehrsregeln abgehalten werden.</w:t>
      </w:r>
    </w:p>
    <w:p>
      <w:pPr>
        <w:pStyle w:val="Heading2"/>
      </w:pPr>
      <w:r>
        <w:t>Erwägungen</w:t>
      </w:r>
    </w:p>
    <w:p>
      <w:r>
        <w:rPr>
          <w:b/>
        </w:rPr>
        <w:t>E. 1</w:t>
      </w:r>
    </w:p>
    <w:p>
      <w:r>
        <w:t>Gemäss Art. 25 Abs. 3 lit. e SVG stellt der Bundesrat Vorschriften auf über den Verkehrsunterricht für Motorfahrzeugführer und Radfahrer, die wiederholt Verkehrsregeln übertreten haben. Gestützt auf diese Ermächtigung hat der Bundesrat in den Artikeln 40 und 41 VZV Bestimmungen über den Verkehrsunterricht erlassen. Danach hat der Unterricht den Teilnehmern die Kenntnis der für sie wichtigen Verkehrsvorschriften zu erneuern oder zu erweitern und sie unter Hinweis auf die Gefahren des Verkehrs zu korrektem Verhalten im Strassenverkehr zu veranlassen ( Art. 40 Abs. 2 VZV ). Zum Verkehrsunterricht können u.a. Motorfahrzeugführer aufgeboten werden, die wiederholt in verkehrsgefährdender Weise gegen Verkehrsregeln verstossen haben ( Art. 40 Abs. 3 VZV ); Voraussetzung ist, dass die Verkehrsteilnehmer aufgrund der begangenen Widerhandlungen und einer Aussprache als erziehungsfähig erscheinen ( Art. 40 Abs. 4 Satz 2 VZV ). Eine wiederholte Verkehrsregelübertretung im Sinne von Art. 25 Abs. 3 lit. e SVG liegt schon dann vor, wenn der Betroffene in den letzten Jahren zweimal Verkehrsregeln übertreten hat (ebenso Interkantonale Kommission für den Strassenverkehr, Richtlinien über die Administrativmassnahmen im Strassenverkehr, 1981, Ziff. 3.3.5.1). Ob es sich jeweils um die gleiche oder um verschiedene Regeln handelt, ist unerheblich. Die Massnahme des BGE 116 Ib 256 S. 258 Verkehrsunterrichts bezweckt einerseits, die Kenntnis der Verkehrsregeln zu erneuern und zu vertiefen; sie soll andererseits aber auch die Einstellung der Teilnehmer des Unterrichts zum Verkehrsgeschehen ganz allgemein beeinflussen, indem sie diese auf die Gefahren regelwidrigen Verhaltens im Strassenverkehr aufmerksam macht und dadurch fehlbare Motorfahrzeuglenker von künftigen Widerhandlungen abhält. Die Massnahme setzt somit voraus, dass der Betroffene innert kurzer Zeit mindestens zweimal oder immer wieder Verkehrsregeln übertreten hat und anzunehmen ist, durch eine Verbesserung seiner Kenntnisse der Verkehrsvorschriften bzw. durch den Hinweis auf die Gefahren regelwidrigen Verhaltens im Strassenverkehr könne er von künftigen Verstössen gegen die Strassenverkehrsregeln abgehalten werden. Ob dies der Fall ist, muss aufgrund der Umstände im Einzelfall entschieden werden. Die Anordnung des Verkehrsunterrichts erweist sich nicht nur dann als sinnvoll, wenn der fehlbare Fahrzeugführer im Laufe seiner Fahrpraxis immer wieder Verkehrsregeln übertreten hat und aufgrund verschiedenartigen Fehlverhaltens anzunehmen ist, seine Kenntnis der Verkehrsregeln sei ungenügend. Der Besuch des Verkehrsunterrichts ist schon dann gerechtfertigt, wenn aus den Umständen geschlossen werden muss, dass dem Betroffenen der Zweck einzelner Verkehrsvorschriften nicht einsichtig ist und dass er sich deswegen der Gefahren nicht bewusst ist, die er durch deren Übertretung für andere Verkehrsteilnehmer schafft.</w:t>
      </w:r>
    </w:p>
    <w:p>
      <w:r>
        <w:rPr>
          <w:b/>
        </w:rPr>
        <w:t>E. 2</w:t>
      </w:r>
    </w:p>
    <w:p>
      <w:r>
        <w:t>Dem Beschwerdeführer wird im vorliegenden Administrativverfahren vorgeworfen, innert nicht ganz dreier Jahre einmal am 6. März 1986 die signalisierte Höchstgeschwindigkeit von 80 km/h um 22 km/h überschritten und einmal am 3. Februar 1989 sein Fahrzeug nicht beherrscht zu haben. Damit hat er im Sinne von Art. 25 Abs. 3 lit. e SVG innert weniger Jahre wiederholt gegen Verkehrsvorschriften verstossen. Wie aus den Akten hervorgeht, ist er aber bereits am 11. Juni 1985 wegen einer Geschwindigkeitsüberschreitung aufgefallen; er fuhr damals auf der Autobahn um 17 km/h zu schnell, wofür er durch das Bezirksamt Rheinfelden am 24. Juni 1985 mit Fr. 100.-- gebüsst wurde. Eine weitere Überschreitung der Höchstgeschwindigkeit trug ihm schliesslich am 26. Juni 1987 eine durch die Kantonspolizei Zürich ausgefällte Busse von Fr. 100.-- ein. Bei dieser Sachlage muss geschlossen werden, dass dem Beschwerdeführer die Bedeutung der Geschwindigkeitsbeschränkungen nicht ganz einsichtig ist und er sich damit der Gefahren nicht bewusst BGE 116 Ib 256 S. 259 ist, die er durch Nichtbeachten der entsprechenden Vorschriften für andere Verkehrsteilnehmer schafft. Aber auch die neue Verfehlung darf - wie die erste Instanz zu Recht ausführt - nicht bagatellisiert werden, da sich der Beschwerdeführer trotz der mehrfachen Signalisation und der deutlich erkennbaren Fahrbahnverengung durch die fragliche Stelle hat überraschen lassen. Bei genügend vorausschauender Fahrweise hätte der unkontrollierte Schwenker und dadurch der Unfall durchaus vermieden werden können. Dass der andere Unfallbeteiligte mit übersetzter Geschwindigkeit fuhr, ändert an dieser Schlussfolgerung nichts und vermag im übrigen das Verschulden des Beschwerdeführers nicht als geringfügiger erscheinen zu lassen. Dem den Akten beiliegenden Programm des Kurses "Verkehrsunterricht I" ist zu entnehmen, dass einer der Themenkreise "Vorausschauende Teilnahme am Verkehr und defensive Fahrweise" lautet; gerade dieser Teil des Kurses ist auf den Beschwerdeführer zugeschnitten. Es ist anzunehmen, dass auch ein durch reichhaltige Fahrpraxis erfahrener Fahrzeuglenker wie der Beschwerdeführer durch den Hinweis auf den Sinn der Verkehrsvorschriften sowie auf die Gefahren entsprechender Übertretungen zur künftigen Beachtung der Regeln im Strassenverkehr angehalten werden kann.</w:t>
      </w:r>
    </w:p>
    <w:p>
      <w:r>
        <w:rPr>
          <w:b/>
        </w:rPr>
        <w:t>E. 3</w:t>
      </w:r>
    </w:p>
    <w:p>
      <w:r>
        <w:t>Gesamthaft gesehen, hat die Vorinstanz kein Bundesrecht verletzt, insbesondere ihr Ermessen nicht überschritten, indem sie die Voraussetzungen des Verkehrsunterrichts für den Beschwerdeführer als gegeben erachtete.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